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9C" w:rsidRDefault="00D43C9C" w:rsidP="00D43C9C">
      <w:pPr>
        <w:jc w:val="center"/>
        <w:rPr>
          <w:rFonts w:cs="Times New Roman"/>
          <w:b/>
          <w:bCs/>
          <w:sz w:val="28"/>
          <w:szCs w:val="28"/>
        </w:rPr>
      </w:pPr>
    </w:p>
    <w:p w:rsidR="00D43C9C" w:rsidRPr="005721B3" w:rsidRDefault="00D43C9C" w:rsidP="005721B3">
      <w:pPr>
        <w:jc w:val="center"/>
        <w:rPr>
          <w:b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721B3">
        <w:rPr>
          <w:b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REGULAMIN ZAKŁADOWEGO FUNDUSZU ŚWIADCZEŃ SOCJALNYCH SZKOŁY PODSTAWAWEJ W RADZIŁOWIE</w:t>
      </w:r>
    </w:p>
    <w:p w:rsidR="00D43C9C" w:rsidRPr="005125C5" w:rsidRDefault="00D43C9C" w:rsidP="00D43C9C">
      <w:pPr>
        <w:autoSpaceDE w:val="0"/>
        <w:rPr>
          <w:rFonts w:cs="Times New Roman"/>
          <w:b/>
          <w:bCs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bookmarkStart w:id="0" w:name="_GoBack"/>
      <w:bookmarkEnd w:id="0"/>
    </w:p>
    <w:p w:rsidR="00D43C9C" w:rsidRPr="005125C5" w:rsidRDefault="00D43C9C" w:rsidP="00D43C9C">
      <w:pPr>
        <w:autoSpaceDE w:val="0"/>
        <w:jc w:val="center"/>
        <w:rPr>
          <w:rFonts w:cs="Times New Roman"/>
          <w:b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b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Rozdział I.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b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 xml:space="preserve">Podstawa prawna </w:t>
      </w:r>
    </w:p>
    <w:p w:rsidR="00D43C9C" w:rsidRPr="005125C5" w:rsidRDefault="00D43C9C" w:rsidP="00D43C9C">
      <w:pPr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1. Ustawa z dnia 4 marca 1994 r. o zakładowym funduszu świadczeń socjalnych (Dz. U. 2017 poz. 2191)</w:t>
      </w:r>
    </w:p>
    <w:p w:rsidR="00D43C9C" w:rsidRPr="005125C5" w:rsidRDefault="00D43C9C" w:rsidP="00D43C9C">
      <w:pPr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2. Ustawy z dnia 26 stycznia 1982 r. Karta Nauczyciela  (Dz. U. 2017 poz. 1189)</w:t>
      </w:r>
    </w:p>
    <w:p w:rsidR="00D43C9C" w:rsidRPr="005125C5" w:rsidRDefault="00D43C9C" w:rsidP="00D43C9C">
      <w:pPr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3. Ustawy z dnia 23 maja 1991r. o zawiązkach zawodowych (Dz. U. 2015 poz. 1881)</w:t>
      </w:r>
    </w:p>
    <w:p w:rsidR="00D43C9C" w:rsidRPr="005125C5" w:rsidRDefault="00D43C9C" w:rsidP="00D43C9C">
      <w:pPr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4. Obwieszczenie GUS o przecię</w:t>
      </w:r>
      <w:r w:rsidR="00E72CD8"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 xml:space="preserve">tnym wynagrodzeniu miesięcznym </w:t>
      </w: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 xml:space="preserve">w gospodarce narodowej w roku poprzednim </w:t>
      </w:r>
    </w:p>
    <w:p w:rsidR="00D43C9C" w:rsidRPr="005125C5" w:rsidRDefault="00D43C9C" w:rsidP="00D43C9C">
      <w:pPr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5. Rozporządzenie Ministra Pracy i Polityki Socjalnej z dnia 9 marca 2009r. w sprawie sposobu ustalania przeciętnej liczby zatrudnionych w celu naliczania odpisu na zakładowy fundusz świadczeń socjalnych (Dz. U. 2009, Nr 43, poz. 349 ze zm.).</w:t>
      </w:r>
    </w:p>
    <w:p w:rsidR="00D43C9C" w:rsidRPr="005125C5" w:rsidRDefault="00D43C9C" w:rsidP="00D43C9C">
      <w:pPr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6. Ustawa z 26 lipca 1991 roku o podatku dochodowym od osób fizycznych (Dz. U. z 2018 poz. 200.)</w:t>
      </w:r>
    </w:p>
    <w:p w:rsidR="00D43C9C" w:rsidRPr="005125C5" w:rsidRDefault="00D43C9C" w:rsidP="00D43C9C">
      <w:pPr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7. Ustawa z dnia 30 czerwca 2005 r. o finansach publicznych (Dz. U. 2017 poz. 2077)</w:t>
      </w:r>
    </w:p>
    <w:p w:rsidR="00D43C9C" w:rsidRPr="005125C5" w:rsidRDefault="00D43C9C" w:rsidP="00D43C9C">
      <w:pPr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8. Rozporządzenie ministra finansów z dnia 2 marca 2010 r. w sprawie szczegółowej klasyfikacji dochodów, wydatków, przychodów i rozchodów oraz środków pochodzących ze źródeł zagranicznych (Dz. U. 2010, Nr 38, poz. 207)</w:t>
      </w:r>
    </w:p>
    <w:p w:rsidR="00D43C9C" w:rsidRPr="005125C5" w:rsidRDefault="00D43C9C" w:rsidP="00D43C9C">
      <w:pPr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</w:pPr>
      <w:r w:rsidRPr="005125C5">
        <w:rPr>
          <w:rFonts w:cs="Times New Roman"/>
          <w:color w:val="000000" w:themeColor="text1"/>
          <w:kern w:val="24"/>
          <w14:textFill>
            <w14:solidFill>
              <w14:schemeClr w14:val="tx1">
                <w14:alpha w14:val="20000"/>
              </w14:schemeClr>
            </w14:solidFill>
          </w14:textFill>
        </w:rPr>
        <w:t>9. Ustawa Kodeks pracy z dnia 26 czerwca 1974 r. (Dz. U. 2018 poz. 108)</w:t>
      </w:r>
    </w:p>
    <w:p w:rsidR="00D43C9C" w:rsidRDefault="00D43C9C" w:rsidP="00D43C9C">
      <w:pPr>
        <w:rPr>
          <w:sz w:val="22"/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Rozdział II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Postanowienia ogólne</w:t>
      </w:r>
    </w:p>
    <w:p w:rsidR="00D43C9C" w:rsidRPr="005125C5" w:rsidRDefault="00D43C9C" w:rsidP="00D43C9C">
      <w:pPr>
        <w:autoSpaceDE w:val="0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1. 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Regulamin zakładowego funduszu świadczeń socjalnych Szkoły Podstawowej w Radziłowie, zwany dalej „Regulaminem”, określa zasady i warunki korzystania z usług i świadczeń finansowanych z zakładowego funduszu świadczeń socjalnych, zwanego dalej „funduszem”, oraz zasady przeznaczania środków funduszu na poszczególne cele i rodzaje działalności socjalnej.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2. 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Dyrektor Szkoły Podstawowej, zwany dalej „Pracodawcą”, gospodaruje środkami funduszu w zakresie określonym w ustawie z 4 marca 1994 r. o zakładowym funduszu świadczeń socjalnych (Dz. U. 2017 poz. 2191) w Regulaminie oraz w rocznym planie rzeczowo-finansowym.</w:t>
      </w:r>
    </w:p>
    <w:p w:rsidR="00D43C9C" w:rsidRPr="005125C5" w:rsidRDefault="00D43C9C" w:rsidP="00D43C9C">
      <w:pPr>
        <w:autoSpaceDE w:val="0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C70A10">
      <w:pPr>
        <w:tabs>
          <w:tab w:val="center" w:pos="4819"/>
          <w:tab w:val="left" w:pos="7005"/>
        </w:tabs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§ 3.</w:t>
      </w:r>
    </w:p>
    <w:p w:rsidR="00D43C9C" w:rsidRPr="005125C5" w:rsidRDefault="00D43C9C" w:rsidP="00D43C9C">
      <w:pPr>
        <w:tabs>
          <w:tab w:val="center" w:pos="4819"/>
          <w:tab w:val="left" w:pos="7005"/>
        </w:tabs>
        <w:autoSpaceDE w:val="0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Podstawę podziału środków funduszu na poszczególne cele i rodzaje działalności socjalnej stanowi roczny plan rzeczowo-finansowy. </w:t>
      </w:r>
    </w:p>
    <w:p w:rsidR="00D43C9C" w:rsidRPr="005125C5" w:rsidRDefault="00D43C9C" w:rsidP="00D43C9C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Projekt rocznego planu rzeczowo-finansowego sporządza pracodawca, w uzgodnieniu z zakładowymi (międzyzakładowymi) organizacjami związkowymi działającymi u pracodawcy.</w:t>
      </w:r>
    </w:p>
    <w:p w:rsidR="00D43C9C" w:rsidRDefault="00D43C9C" w:rsidP="00D43C9C">
      <w:pPr>
        <w:autoSpaceDE w:val="0"/>
        <w:jc w:val="center"/>
        <w:rPr>
          <w:rFonts w:cs="Times New Roman"/>
          <w:b/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lastRenderedPageBreak/>
        <w:t>Rozdział III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Tworzenie funduszu</w:t>
      </w:r>
    </w:p>
    <w:p w:rsidR="00D43C9C" w:rsidRPr="005125C5" w:rsidRDefault="00D43C9C" w:rsidP="00D43C9C">
      <w:pPr>
        <w:pStyle w:val="Nagwek6"/>
        <w:ind w:firstLine="0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Źródła finansowania zakładowej działalności socjalnej</w:t>
      </w:r>
    </w:p>
    <w:p w:rsidR="00D43C9C" w:rsidRPr="005125C5" w:rsidRDefault="00D43C9C" w:rsidP="00D43C9C">
      <w:pPr>
        <w:rPr>
          <w:rFonts w:cs="Times New Roman"/>
          <w:kern w:val="24"/>
          <w:sz w:val="20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4. </w:t>
      </w: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Fundusz, z którego finansowana jest zakładowa działalność socjalna, tworzy się z corocznego odpisu podstawowego, naliczanego w stosunku do przeciętnej liczby zatrudnionych w danym roku kalendarzowym.</w:t>
      </w:r>
    </w:p>
    <w:p w:rsidR="00D43C9C" w:rsidRPr="005125C5" w:rsidRDefault="00D43C9C" w:rsidP="00D43C9C">
      <w:pPr>
        <w:rPr>
          <w:rFonts w:cs="Times New Roman"/>
          <w:kern w:val="24"/>
          <w:sz w:val="20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Rozdział IV 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Przeznaczenie funduszu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5. 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Fundusz jest przeznaczony na finansowanie działalności socjalnej organizowanej na rzecz osób uprawnionych do korzystania z funduszu, zwanych dalej „osobami uprawnionymi”, z uwzględnieniem ich sytuacji życiowej, rodzinnej i materialnej.</w:t>
      </w:r>
    </w:p>
    <w:p w:rsidR="00D43C9C" w:rsidRPr="005125C5" w:rsidRDefault="00D43C9C" w:rsidP="00D43C9C">
      <w:pPr>
        <w:numPr>
          <w:ilvl w:val="0"/>
          <w:numId w:val="2"/>
        </w:numPr>
        <w:tabs>
          <w:tab w:val="left" w:pos="720"/>
        </w:tabs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Działalność socjalna, o której mowa w pkt 1, obejmuje usługi świadczone na rzecz:</w:t>
      </w:r>
    </w:p>
    <w:p w:rsidR="00D43C9C" w:rsidRPr="005125C5" w:rsidRDefault="00D43C9C" w:rsidP="00D43C9C">
      <w:pPr>
        <w:autoSpaceDE w:val="0"/>
        <w:ind w:left="72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1)  różnych form wypoczynku,</w:t>
      </w:r>
    </w:p>
    <w:p w:rsidR="00D43C9C" w:rsidRPr="005125C5" w:rsidRDefault="00D43C9C" w:rsidP="00D43C9C">
      <w:pPr>
        <w:autoSpaceDE w:val="0"/>
        <w:ind w:left="72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2) działalności kulturalno-oświatowej i sportowo-rekreacyjnej, </w:t>
      </w:r>
    </w:p>
    <w:p w:rsidR="00D43C9C" w:rsidRPr="005125C5" w:rsidRDefault="00A35874" w:rsidP="00D43C9C">
      <w:pPr>
        <w:autoSpaceDE w:val="0"/>
        <w:ind w:left="72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3</w:t>
      </w:r>
      <w:r w:rsidR="00D43C9C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) udzielania pomocy finansowej, </w:t>
      </w:r>
    </w:p>
    <w:p w:rsidR="00D43C9C" w:rsidRPr="005125C5" w:rsidRDefault="00A35874" w:rsidP="00D43C9C">
      <w:pPr>
        <w:autoSpaceDE w:val="0"/>
        <w:ind w:left="72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4</w:t>
      </w:r>
      <w:r w:rsidR="00D43C9C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) zwrotnej pomocy na cele mieszkaniowe na warunkach określonych umową.</w:t>
      </w:r>
    </w:p>
    <w:p w:rsidR="00D43C9C" w:rsidRPr="005125C5" w:rsidRDefault="00D43C9C" w:rsidP="00C55CA4">
      <w:pPr>
        <w:autoSpaceDE w:val="0"/>
        <w:rPr>
          <w:rFonts w:cs="Times New Roman"/>
          <w:i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§ 6. </w:t>
      </w:r>
    </w:p>
    <w:p w:rsidR="00D43C9C" w:rsidRPr="005125C5" w:rsidRDefault="00D43C9C" w:rsidP="00C55CA4">
      <w:pPr>
        <w:autoSpaceDE w:val="0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Świadczenia socjalne z funduszu, zwane dalej „świadczeniami”, są przyznawane na wniosek osób uprawnionych i nie mają charakteru roszczeniowego.</w:t>
      </w:r>
    </w:p>
    <w:p w:rsidR="00D43C9C" w:rsidRPr="005125C5" w:rsidRDefault="00D43C9C" w:rsidP="00D43C9C">
      <w:pPr>
        <w:autoSpaceDE w:val="0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§ 7.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Decyzję o przyznaniu świadczeń podejmuje Dyrektor Szkoły Podstawowej w Radziłowie w uzgodnieniu z działającymi w szkole organizacjami związkowymi.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8. 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Ustalanie celu, rodzaju i wysokości świadczenia jest dokonywane na podstawie sytuacji życiowej, rodzinnej i materialnej osoby uprawnionej.</w:t>
      </w:r>
    </w:p>
    <w:p w:rsidR="00D43C9C" w:rsidRPr="005125C5" w:rsidRDefault="00D43C9C" w:rsidP="00D43C9C">
      <w:pPr>
        <w:autoSpaceDE w:val="0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Rozdział V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Osoby uprawnione do korzystania z zakładowego funduszu świadczeń socjalnych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9. 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1. Osobami uprawnionymi do korzystania z funduszu są: </w:t>
      </w:r>
    </w:p>
    <w:p w:rsidR="00D43C9C" w:rsidRPr="005125C5" w:rsidRDefault="00D43C9C" w:rsidP="00D43C9C">
      <w:pPr>
        <w:autoSpaceDE w:val="0"/>
        <w:ind w:left="960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1) pracownicy Szkoły Podstawowej w Radziłowie, bez względu na podstawę nawiązania stosunku pracy i wymiar zatrudnienia, staż pracy i stanowisko, zwani dalej „pracownikami”,</w:t>
      </w:r>
    </w:p>
    <w:p w:rsidR="00D43C9C" w:rsidRPr="005125C5" w:rsidRDefault="00D43C9C" w:rsidP="00D43C9C">
      <w:pPr>
        <w:autoSpaceDE w:val="0"/>
        <w:ind w:left="96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2) emeryci i renciści – byli pracownicy, dla których Szkoła Podstawowa i Gimnazjum w Radziłowie były ostatnim miejscem zatrudnienia przed nabyciem prawa do</w:t>
      </w:r>
      <w:r w:rsidRPr="005125C5">
        <w:rPr>
          <w:rFonts w:cs="Times New Roman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lastRenderedPageBreak/>
        <w:t xml:space="preserve">emerytury, renty lub nauczycielskiego świadczenia kompensacyjnego, </w:t>
      </w:r>
    </w:p>
    <w:p w:rsidR="00D43C9C" w:rsidRPr="005125C5" w:rsidRDefault="00D43C9C" w:rsidP="00D43C9C">
      <w:pPr>
        <w:autoSpaceDE w:val="0"/>
        <w:ind w:left="96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3) osoby wskazane przez organ prowadzący szkołę, dla których będzie naliczany odpis na zakładowy fundusz świadczeń socjalnych na każdego nau</w:t>
      </w:r>
      <w:r w:rsidR="00C70A10"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czyciela będącego emerytem lub </w:t>
      </w: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rencistą zlikwidowanej lub przekazanej szkoły oraz nauczyciela pobierającego nauczycielskie świadczenie kompensacyjne, którego szkoła była ostatnim miejscem pracy.</w:t>
      </w:r>
    </w:p>
    <w:p w:rsidR="00D43C9C" w:rsidRPr="005125C5" w:rsidRDefault="00D43C9C" w:rsidP="00C55CA4">
      <w:pPr>
        <w:autoSpaceDE w:val="0"/>
        <w:ind w:left="96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4) członkowie rodzin osób, o których mowa w pkt 1,2 i 3  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2. Do członków rodziny, o których mowa w ust. 1 pkt 4, zalicza się: </w:t>
      </w:r>
    </w:p>
    <w:p w:rsidR="00D43C9C" w:rsidRPr="005125C5" w:rsidRDefault="00D43C9C" w:rsidP="00D43C9C">
      <w:pPr>
        <w:autoSpaceDE w:val="0"/>
        <w:ind w:left="96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1) pozostające na utrzymaniu pracownika, emeryta lub rencisty dzieci własne, przysposobione oraz dzieci przyjęte na wychowanie w rodzinie zastępczej, dzieci współmałżonka oraz pozostające na utrzymaniu wnuki i rodzeństwo w wieku do lat 18, a jeżeli kształcą się w szkole – do czasu ukończenia nauki, jednak nie dłużej niż do ukończenia 25 lat, </w:t>
      </w:r>
    </w:p>
    <w:p w:rsidR="00D43C9C" w:rsidRPr="005125C5" w:rsidRDefault="00D43C9C" w:rsidP="00D43C9C">
      <w:pPr>
        <w:autoSpaceDE w:val="0"/>
        <w:ind w:left="96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2) osoby wymienione w pkt 1 niezdolne do samodzielnej egzystencji lub całkowicie niezdolne do pracy – bez względu na wiek, </w:t>
      </w:r>
    </w:p>
    <w:p w:rsidR="00D43C9C" w:rsidRPr="005125C5" w:rsidRDefault="00D43C9C" w:rsidP="00D43C9C">
      <w:pPr>
        <w:autoSpaceDE w:val="0"/>
        <w:ind w:left="96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3) współmałżonka – jeżeli nie jest nigdzie zatrudniony i pozostaje na wyłącznym utrzymaniu pracownika, emeryta lub rencisty. </w:t>
      </w:r>
    </w:p>
    <w:p w:rsidR="00D43C9C" w:rsidRPr="005125C5" w:rsidRDefault="00D43C9C" w:rsidP="00D43C9C">
      <w:pPr>
        <w:numPr>
          <w:ilvl w:val="0"/>
          <w:numId w:val="4"/>
        </w:numPr>
        <w:tabs>
          <w:tab w:val="clear" w:pos="720"/>
          <w:tab w:val="left" w:pos="0"/>
        </w:tabs>
        <w:autoSpaceDE w:val="0"/>
        <w:ind w:left="284" w:hanging="284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Inne osoby uprawnione:</w:t>
      </w:r>
    </w:p>
    <w:p w:rsidR="00A35874" w:rsidRPr="005125C5" w:rsidRDefault="00D43C9C" w:rsidP="00D43C9C">
      <w:pPr>
        <w:autoSpaceDE w:val="0"/>
        <w:ind w:left="108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1) osoby przebywające na świadczeniach przedemerytalnych, dla których Szkoła Podstawowa w Radziłowie była ostatnim miejscem zatrudnienia</w:t>
      </w:r>
      <w:r w:rsidR="00A35874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.</w:t>
      </w:r>
    </w:p>
    <w:p w:rsidR="00D43C9C" w:rsidRPr="005125C5" w:rsidRDefault="00A35874" w:rsidP="00D43C9C">
      <w:pPr>
        <w:autoSpaceDE w:val="0"/>
        <w:ind w:left="108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2</w:t>
      </w:r>
      <w:r w:rsidR="00D43C9C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) członkowie rodzin zmarłych pracowników oraz emerytów i rencistów – byłych pracowników zakładu, jeżeli są uprawnieni do renty rodzinnej po zmarłym – w okresie pobierania renty rodzinnej.</w:t>
      </w:r>
    </w:p>
    <w:p w:rsidR="00D43C9C" w:rsidRPr="005125C5" w:rsidRDefault="00D43C9C" w:rsidP="00D43C9C">
      <w:pPr>
        <w:autoSpaceDE w:val="0"/>
        <w:jc w:val="both"/>
        <w:rPr>
          <w:rFonts w:cs="Times New Roman"/>
          <w:b/>
          <w:kern w:val="24"/>
          <w:shd w:val="clear" w:color="auto" w:fill="FFFF00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10. 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Osoby, o których mowa w § 9 ust. 1 pkt 2, ubiegające się o świadczenia z funduszu, obowiązane są udokumentować swoje prawo do korzystania z funduszu poprzez przedłożenie decyzji o przyznaniu prawa do emerytury, renty lub nauczycielskiego świadczenia kompensacyjnego.</w:t>
      </w:r>
    </w:p>
    <w:p w:rsidR="00D43C9C" w:rsidRPr="005125C5" w:rsidRDefault="00D43C9C" w:rsidP="00D43C9C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Ubiegając się o świadczenia na członków rodziny, o których mowa w § 9 ust. 2, należy złożyć następujące dokumenty:</w:t>
      </w:r>
    </w:p>
    <w:p w:rsidR="00D43C9C" w:rsidRPr="005125C5" w:rsidRDefault="00D43C9C" w:rsidP="00D43C9C">
      <w:pPr>
        <w:numPr>
          <w:ilvl w:val="0"/>
          <w:numId w:val="11"/>
        </w:numPr>
        <w:tabs>
          <w:tab w:val="left" w:pos="1080"/>
        </w:tabs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w przypadku dzieci powyżej 18. roku życia – oświadczenie potwierdzające pobieranie nauki oraz oświadczenie, że dziecko pozostaje na wyłącznym utrzymaniu pracownika, emeryta lub rencisty,</w:t>
      </w:r>
    </w:p>
    <w:p w:rsidR="00D43C9C" w:rsidRPr="005125C5" w:rsidRDefault="00D43C9C" w:rsidP="00D43C9C">
      <w:pPr>
        <w:numPr>
          <w:ilvl w:val="0"/>
          <w:numId w:val="11"/>
        </w:numPr>
        <w:tabs>
          <w:tab w:val="left" w:pos="1080"/>
        </w:tabs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w przypadku dzieci niezdolnych do samodzielnej egzystencji lub niezdolnych do pracy – orzeczenie zespołu orzekania do spraw niepełnosprawności lub organu rentowego,</w:t>
      </w:r>
    </w:p>
    <w:p w:rsidR="00C70A10" w:rsidRPr="005125C5" w:rsidRDefault="00D43C9C" w:rsidP="00C55CA4">
      <w:pPr>
        <w:numPr>
          <w:ilvl w:val="0"/>
          <w:numId w:val="11"/>
        </w:numPr>
        <w:tabs>
          <w:tab w:val="left" w:pos="1080"/>
        </w:tabs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w przypadku współmałżonka – zaświadczenie urzędu pracy potwierdzające posiadanie statusu bezrobotnego.</w:t>
      </w:r>
    </w:p>
    <w:p w:rsidR="00A35874" w:rsidRPr="005125C5" w:rsidRDefault="00A35874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Rozdział 6.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Zasady i warunki realizacji poszczególnych świadczeń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11. 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F97D74" w:rsidRPr="005125C5" w:rsidRDefault="00F97D74" w:rsidP="00F97D74">
      <w:pPr>
        <w:autoSpaceDE w:val="0"/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F97D74" w:rsidRPr="005125C5" w:rsidRDefault="00F97D74" w:rsidP="00F97D74">
      <w:pPr>
        <w:numPr>
          <w:ilvl w:val="0"/>
          <w:numId w:val="10"/>
        </w:numPr>
        <w:tabs>
          <w:tab w:val="left" w:pos="720"/>
        </w:tabs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Wysokość świadczeń funduszu jest ustalana na podstawie złożonego przez osobę uprawnioną oświadczenia o średnim miesięcznym dochodzie brutto, przypadającym na jednego członka jego rodziny w roku poprzedzającym przyznanie świadczenia.</w:t>
      </w:r>
      <w:r w:rsidR="00B152A2" w:rsidRPr="005125C5">
        <w:rPr>
          <w:rFonts w:cs="Times New Roman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="00B152A2"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lastRenderedPageBreak/>
        <w:t xml:space="preserve">Oświadczenie należy złożyć do 15 kwietnia każdego roku. </w:t>
      </w:r>
    </w:p>
    <w:p w:rsidR="00F97D74" w:rsidRPr="005125C5" w:rsidRDefault="00F97D74" w:rsidP="00F97D74">
      <w:pPr>
        <w:pStyle w:val="Tekstpodstawowywcity"/>
        <w:autoSpaceDE w:val="0"/>
        <w:ind w:left="360"/>
        <w:jc w:val="both"/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2. </w:t>
      </w: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ab/>
        <w:t xml:space="preserve">Podstawą przyznania pomocy finansowej z funduszu jest wniosek osoby uprawnionej z </w:t>
      </w: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ab/>
        <w:t>załączonym oświadczeni</w:t>
      </w:r>
      <w:r w:rsidR="00A35874"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>em o wysokości dochodu na osobę</w:t>
      </w: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przypadającego na osobę w </w:t>
      </w: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ab/>
        <w:t>gospodarstwie domowym.</w:t>
      </w:r>
    </w:p>
    <w:p w:rsidR="00F97D74" w:rsidRPr="005125C5" w:rsidRDefault="00F97D74" w:rsidP="00F97D74">
      <w:pPr>
        <w:pStyle w:val="Tekstpodstawowywcity"/>
        <w:autoSpaceDE w:val="0"/>
        <w:ind w:left="360"/>
        <w:jc w:val="both"/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3. </w:t>
      </w: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ab/>
        <w:t>W razie uzasadnionych wątpliwości co do prawdziwości danych zawa</w:t>
      </w:r>
      <w:r w:rsidR="00A35874"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>rtych w oświadczeniu lub wniosku</w:t>
      </w: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o którym mowa w ust. 1 i 2,  pracodawca może żądać udokumentowania tych danych stosownymi zaświadczeniami.</w:t>
      </w:r>
    </w:p>
    <w:p w:rsidR="00F97D74" w:rsidRPr="005125C5" w:rsidRDefault="00F97D74" w:rsidP="00F97D74">
      <w:pPr>
        <w:pStyle w:val="Tekstpodstawowywcity"/>
        <w:autoSpaceDE w:val="0"/>
        <w:ind w:left="360"/>
        <w:jc w:val="both"/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4. </w:t>
      </w: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ab/>
        <w:t xml:space="preserve">Osoba uprawniona może zrezygnować z ujawniania dochodów, deklarując przynależność do </w:t>
      </w:r>
      <w:r w:rsidRPr="005125C5">
        <w:rPr>
          <w:rFonts w:ascii="Times New Roman" w:hAnsi="Times New Roman" w:cs="Times New Roman"/>
          <w:b w:val="0"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ab/>
        <w:t xml:space="preserve">grupy osób o najwyższych dochodach. </w:t>
      </w:r>
    </w:p>
    <w:p w:rsidR="00F97D74" w:rsidRPr="005125C5" w:rsidRDefault="00F97D74" w:rsidP="00F97D74">
      <w:pPr>
        <w:ind w:left="540" w:hanging="180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5. Wzór  oświadczenia o sytuacji życiowej, rodzinnej i materialnej osoby uprawnionej do korzystania ze środków ZFŚS stanowi</w:t>
      </w:r>
      <w:r w:rsidR="00E72CD8"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załącznik nr 1</w:t>
      </w: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do Regulaminu. </w:t>
      </w:r>
    </w:p>
    <w:p w:rsidR="00F97D74" w:rsidRPr="005125C5" w:rsidRDefault="00F97D74" w:rsidP="00F97D74">
      <w:pPr>
        <w:ind w:left="540" w:hanging="180"/>
        <w:rPr>
          <w:rFonts w:cs="Times New Roman"/>
          <w:i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F97D74" w:rsidRPr="005125C5" w:rsidRDefault="00F97D74" w:rsidP="00F97D74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12. </w:t>
      </w:r>
    </w:p>
    <w:p w:rsidR="00F97D74" w:rsidRPr="005125C5" w:rsidRDefault="00F97D74" w:rsidP="00F97D74">
      <w:pPr>
        <w:ind w:left="540" w:hanging="180"/>
        <w:rPr>
          <w:rFonts w:cs="Times New Roman"/>
          <w:i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W ramach usług świadczonych na rzecz różnych form wypoczynku środki funduszu przeznacza się na dofinansowanie:</w:t>
      </w:r>
    </w:p>
    <w:p w:rsidR="00D43C9C" w:rsidRPr="005125C5" w:rsidRDefault="00D43C9C" w:rsidP="00D43C9C">
      <w:pPr>
        <w:numPr>
          <w:ilvl w:val="0"/>
          <w:numId w:val="6"/>
        </w:numPr>
        <w:tabs>
          <w:tab w:val="left" w:pos="360"/>
        </w:tabs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krajowego i zagranicznego wypoczynku osób uprawnionych w formie wczasów, leczenia sanatoryjnego i wczasów profilaktyczno-leczniczych organizowanych lub zakupionych przez pracodawcę oraz indywidualnie przez osobę uprawnioną do korzystania z funduszu;</w:t>
      </w:r>
    </w:p>
    <w:p w:rsidR="00D43C9C" w:rsidRPr="005125C5" w:rsidRDefault="00D43C9C" w:rsidP="00D43C9C">
      <w:pPr>
        <w:numPr>
          <w:ilvl w:val="0"/>
          <w:numId w:val="6"/>
        </w:numPr>
        <w:tabs>
          <w:tab w:val="left" w:pos="360"/>
        </w:tabs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wypoczynku organizowanego przez osobę uprawnioną we własnym zakresie („wczasy pod gruszą”).</w:t>
      </w:r>
    </w:p>
    <w:p w:rsidR="00F97D74" w:rsidRPr="005125C5" w:rsidRDefault="00F97D74" w:rsidP="00F97D74">
      <w:pPr>
        <w:pStyle w:val="Akapitzlist"/>
        <w:autoSpaceDE w:val="0"/>
        <w:ind w:left="360"/>
        <w:jc w:val="center"/>
        <w:rPr>
          <w:rFonts w:cs="Times New Roman"/>
          <w:b/>
          <w:bCs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§ 13</w:t>
      </w:r>
      <w:r w:rsidRPr="005125C5">
        <w:rPr>
          <w:rFonts w:cs="Times New Roman"/>
          <w:b/>
          <w:bCs/>
          <w:kern w:val="24"/>
          <w:szCs w:val="24"/>
          <w14:textFill>
            <w14:solidFill>
              <w14:srgbClr w14:val="000000">
                <w14:alpha w14:val="20000"/>
              </w14:srgbClr>
            </w14:solidFill>
          </w14:textFill>
        </w:rPr>
        <w:t>.</w:t>
      </w:r>
    </w:p>
    <w:p w:rsidR="00D43C9C" w:rsidRPr="005125C5" w:rsidRDefault="00D43C9C" w:rsidP="00D43C9C">
      <w:pPr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C70A10" w:rsidRPr="005125C5" w:rsidRDefault="00D43C9C" w:rsidP="00D43C9C">
      <w:pPr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Wnioski o dofinansowanie do wypoczynku, o którym mowa w § </w:t>
      </w:r>
      <w:r w:rsidR="00F97D74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12</w:t>
      </w: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pkt 1</w:t>
      </w:r>
      <w:r w:rsidR="00C70A10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, </w:t>
      </w: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osoba uprawniona może złożyć maksyma</w:t>
      </w:r>
      <w:r w:rsidR="00C70A10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lnie 1 raz w roku kalendarzowym. </w:t>
      </w:r>
    </w:p>
    <w:p w:rsidR="00C70A10" w:rsidRPr="005125C5" w:rsidRDefault="00C70A10" w:rsidP="00C70A10">
      <w:pPr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Wnioski o dofinansowanie do wypoczynku, o którym mowa w § </w:t>
      </w:r>
      <w:r w:rsidR="00F97D74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12</w:t>
      </w: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pkt 2, osoba uprawniona może złożyć maksymalnie 1 raz w roku kalendarzowym;</w:t>
      </w:r>
    </w:p>
    <w:p w:rsidR="00C70A10" w:rsidRPr="005125C5" w:rsidRDefault="00C70A10" w:rsidP="00C70A10">
      <w:pPr>
        <w:numPr>
          <w:ilvl w:val="0"/>
          <w:numId w:val="7"/>
        </w:numPr>
        <w:tabs>
          <w:tab w:val="left" w:pos="720"/>
        </w:tabs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Wniosek o dofinansowanie do wypoczynku urlopowego</w:t>
      </w:r>
      <w:r w:rsidR="009D2096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(wczasy pod gruszą)</w:t>
      </w: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ze środków ZFŚS, decyzje pra</w:t>
      </w:r>
      <w:r w:rsidR="009D2096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codawcy w tym zakresie, stanowi</w:t>
      </w: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załącznik</w:t>
      </w:r>
      <w:r w:rsidR="009D2096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nr </w:t>
      </w: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2</w:t>
      </w:r>
      <w:r w:rsidR="009D2096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do Regulaminu.</w:t>
      </w:r>
    </w:p>
    <w:p w:rsidR="00D43C9C" w:rsidRPr="005125C5" w:rsidRDefault="00D43C9C" w:rsidP="00D43C9C">
      <w:pPr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14. </w:t>
      </w: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Niezależnie od dofi</w:t>
      </w:r>
      <w:r w:rsidR="00D10BC6"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nansowania, o którym mowa w § 12</w:t>
      </w:r>
      <w:r w:rsidRPr="005125C5"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pkt 1 i 2, nauczycielom przysługuje świadczenie urlopowe na zasadach określonych w art. 53 ust. 1a Karty Nauczyciela.</w:t>
      </w:r>
    </w:p>
    <w:p w:rsidR="00D43C9C" w:rsidRPr="005125C5" w:rsidRDefault="00D43C9C" w:rsidP="00D43C9C">
      <w:pPr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15. </w:t>
      </w:r>
    </w:p>
    <w:p w:rsidR="00D43C9C" w:rsidRPr="005125C5" w:rsidRDefault="00D43C9C" w:rsidP="00D43C9C">
      <w:pPr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Działalność kulturalno-oświatowa finansowana ze środków funduszu obejmuje finansowanie imprez masowych dla osób uprawnionych w formie imprez artystycznych, kulturalnych lub </w:t>
      </w:r>
      <w:r w:rsidR="00C70A10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rozrywkowych.</w:t>
      </w:r>
    </w:p>
    <w:p w:rsidR="00D43C9C" w:rsidRPr="005125C5" w:rsidRDefault="00D43C9C" w:rsidP="00D43C9C">
      <w:pPr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§ 16.</w:t>
      </w:r>
    </w:p>
    <w:p w:rsidR="00D43C9C" w:rsidRPr="005125C5" w:rsidRDefault="00D43C9C" w:rsidP="00D43C9C">
      <w:pPr>
        <w:jc w:val="center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Finansowanie imprez masowych, o których mowa w § 15, odbywa się w całości ze środków funduszu. Osoby uprawnione biorące udział w imprezie nie ponoszą żadnych dodatkowych opłat z tym związanych. Osoby uprawnione, które nie biorą udziału w imprezie, nie mają prawa do żadnego ekwiwalentu z tego tytułu.</w:t>
      </w:r>
    </w:p>
    <w:p w:rsidR="00D43C9C" w:rsidRPr="005125C5" w:rsidRDefault="00D43C9C" w:rsidP="00D43C9C">
      <w:pPr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lastRenderedPageBreak/>
        <w:t xml:space="preserve">§ 17. </w:t>
      </w:r>
    </w:p>
    <w:p w:rsidR="00D43C9C" w:rsidRPr="005125C5" w:rsidRDefault="00D43C9C" w:rsidP="00D43C9C">
      <w:pPr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Działalność sportowo</w:t>
      </w: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ab/>
        <w:t>-rekreacyjna finansowana ze środków funduszu obejmuje finansowanie imprez masowych dla osób uprawnionych w formie wycieczek, kuligów i innych form sportowo-rekreacyjnych,</w:t>
      </w:r>
    </w:p>
    <w:p w:rsidR="00D43C9C" w:rsidRPr="005125C5" w:rsidRDefault="00D43C9C" w:rsidP="00D43C9C">
      <w:pPr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18. </w:t>
      </w:r>
    </w:p>
    <w:p w:rsidR="00D43C9C" w:rsidRPr="005125C5" w:rsidRDefault="00D43C9C" w:rsidP="00D43C9C">
      <w:pPr>
        <w:jc w:val="center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jc w:val="both"/>
        <w:rPr>
          <w:rFonts w:cs="Times New Roman"/>
          <w:b/>
          <w:b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Finansowanie imprez masowych, o których mowa w § 17, odbywa się w całości ze środków funduszu. Osoby uprawnione biorące udział w imprezie nie ponoszą żadnych dodatkowych opłat z tym związanych. Osoby uprawnione, które nie biorą udziału w imprezie, nie mają prawa do żadnego ekwiwalentu z tego tytułu.</w:t>
      </w:r>
    </w:p>
    <w:p w:rsidR="00D43C9C" w:rsidRPr="005125C5" w:rsidRDefault="00D43C9C" w:rsidP="00D43C9C">
      <w:pPr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pStyle w:val="Zawartoramki"/>
        <w:jc w:val="left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19. </w:t>
      </w:r>
    </w:p>
    <w:p w:rsidR="00D43C9C" w:rsidRPr="005125C5" w:rsidRDefault="00D43C9C" w:rsidP="00D43C9C">
      <w:pPr>
        <w:tabs>
          <w:tab w:val="left" w:pos="0"/>
        </w:tabs>
        <w:autoSpaceDE w:val="0"/>
        <w:jc w:val="center"/>
        <w:rPr>
          <w:rFonts w:cs="Times New Roman"/>
          <w:b/>
          <w:bCs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numPr>
          <w:ilvl w:val="0"/>
          <w:numId w:val="8"/>
        </w:numPr>
        <w:tabs>
          <w:tab w:val="left" w:pos="0"/>
          <w:tab w:val="left" w:pos="720"/>
        </w:tabs>
        <w:autoSpaceDE w:val="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Pomoc finansowa przyznawana jest na wniosek osoby</w:t>
      </w:r>
      <w:r w:rsidR="00100F3A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uprawnionej nie częściej niż 3 </w:t>
      </w:r>
      <w:r w:rsidR="003D25AF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razy w roku kalendarzowym.</w:t>
      </w:r>
    </w:p>
    <w:p w:rsidR="00D43C9C" w:rsidRPr="005125C5" w:rsidRDefault="00D43C9C" w:rsidP="00D43C9C">
      <w:pPr>
        <w:numPr>
          <w:ilvl w:val="0"/>
          <w:numId w:val="8"/>
        </w:numPr>
        <w:tabs>
          <w:tab w:val="left" w:pos="0"/>
          <w:tab w:val="left" w:pos="720"/>
        </w:tabs>
        <w:autoSpaceDE w:val="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Niezależnie od pomocy finansowej, o której mowa w ust. 1, osoba uprawniona może ubiegać się o zapomogę pieniężną w przypadku indywidualnych zdarzeń losowych, klęsk żywiołowych, długotrwałej choroby lub śmierci.</w:t>
      </w:r>
    </w:p>
    <w:p w:rsidR="00D43C9C" w:rsidRPr="005125C5" w:rsidRDefault="00D43C9C" w:rsidP="00D43C9C">
      <w:pPr>
        <w:numPr>
          <w:ilvl w:val="0"/>
          <w:numId w:val="8"/>
        </w:numPr>
        <w:tabs>
          <w:tab w:val="left" w:pos="0"/>
          <w:tab w:val="left" w:pos="720"/>
        </w:tabs>
        <w:autoSpaceDE w:val="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Osoba ubiegająca się o zapomogę, o której mowa w ust. 2, do wniosku o jej przyznanie obowiązana jest dołączyć dokumenty potwierdzające zaistnienie zdarzenia, w związku z którym pomoc ma zostać przyznana. 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ind w:left="720"/>
        <w:jc w:val="center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Rozdział VII</w:t>
      </w:r>
    </w:p>
    <w:p w:rsidR="00D43C9C" w:rsidRPr="005125C5" w:rsidRDefault="00D43C9C" w:rsidP="00D43C9C">
      <w:pPr>
        <w:autoSpaceDE w:val="0"/>
        <w:ind w:left="720"/>
        <w:jc w:val="center"/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Zasady udzielania pomocy mieszkaniowej w formie zwrotnej pożyczki i warunki umorzenia pożyczek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§ 20. </w:t>
      </w:r>
    </w:p>
    <w:p w:rsidR="00D43C9C" w:rsidRPr="005125C5" w:rsidRDefault="00D43C9C" w:rsidP="00D43C9C">
      <w:pPr>
        <w:autoSpaceDE w:val="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Zwrotna pomoc na cele mieszkaniowe przyznawana z funduszu udzielana jest w formie pożyczki mieszkaniowej.</w:t>
      </w:r>
    </w:p>
    <w:p w:rsidR="00D43C9C" w:rsidRPr="005125C5" w:rsidRDefault="00D43C9C" w:rsidP="00D43C9C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Pożyczka mieszkaniowa może być przeznaczona na budowę, modernizację, remont lub zakup domu lub mieszkania.</w:t>
      </w:r>
    </w:p>
    <w:p w:rsidR="00D43C9C" w:rsidRPr="005125C5" w:rsidRDefault="00D43C9C" w:rsidP="00D43C9C">
      <w:pPr>
        <w:numPr>
          <w:ilvl w:val="0"/>
          <w:numId w:val="9"/>
        </w:numPr>
        <w:tabs>
          <w:tab w:val="left" w:pos="765"/>
        </w:tabs>
        <w:ind w:left="765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Pożyczka na cele mieszkaniowe wymaga poręczenia przez co najmniej 2 pracowników zatrudnionych w Szkole Podstawowej w Radziłowie, którzy osiągają wynagrodzenie w wysokości przekraczającej minimalne wynagrodzenie za pracę, określone w odrębnych przepisach. Ten sam pracownik może być poręczycielem maksymalnie 2 pożyczek równocześnie.</w:t>
      </w:r>
    </w:p>
    <w:p w:rsidR="00D43C9C" w:rsidRPr="005125C5" w:rsidRDefault="00D43C9C" w:rsidP="00D43C9C">
      <w:pPr>
        <w:numPr>
          <w:ilvl w:val="0"/>
          <w:numId w:val="9"/>
        </w:numPr>
        <w:tabs>
          <w:tab w:val="left" w:pos="765"/>
        </w:tabs>
        <w:ind w:left="765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Okres spłaty pożyczki nie może przekraczać</w:t>
      </w:r>
      <w:r w:rsidR="00100F3A"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11</w:t>
      </w: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miesięcy.</w:t>
      </w:r>
    </w:p>
    <w:p w:rsidR="00D43C9C" w:rsidRPr="005125C5" w:rsidRDefault="00D43C9C" w:rsidP="00D43C9C">
      <w:pPr>
        <w:numPr>
          <w:ilvl w:val="0"/>
          <w:numId w:val="9"/>
        </w:numPr>
        <w:tabs>
          <w:tab w:val="left" w:pos="765"/>
        </w:tabs>
        <w:ind w:left="765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Pożyczka podlega natychmiastowej spłacie w całości wraz z oprocentowaniem w razie rozwiązania:</w:t>
      </w:r>
    </w:p>
    <w:p w:rsidR="00D43C9C" w:rsidRPr="005125C5" w:rsidRDefault="00D43C9C" w:rsidP="00D43C9C">
      <w:pPr>
        <w:tabs>
          <w:tab w:val="left" w:pos="1425"/>
        </w:tabs>
        <w:ind w:left="975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1) z pracownikiem stosunku pracy z przyczyn leżących po stronie pracownika, </w:t>
      </w:r>
    </w:p>
    <w:p w:rsidR="00D43C9C" w:rsidRPr="005125C5" w:rsidRDefault="00D43C9C" w:rsidP="00D43C9C">
      <w:pPr>
        <w:tabs>
          <w:tab w:val="left" w:pos="1425"/>
        </w:tabs>
        <w:ind w:left="975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2) stosunku pracy przez pracownika za wypowiedzeniem,</w:t>
      </w:r>
    </w:p>
    <w:p w:rsidR="00D43C9C" w:rsidRPr="005125C5" w:rsidRDefault="00D43C9C" w:rsidP="00D43C9C">
      <w:pPr>
        <w:tabs>
          <w:tab w:val="left" w:pos="1425"/>
        </w:tabs>
        <w:ind w:left="975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3) stosunku pracy z powodu upływu okresu, na jaki została zawarta.</w:t>
      </w:r>
    </w:p>
    <w:p w:rsidR="00D43C9C" w:rsidRPr="005125C5" w:rsidRDefault="00D43C9C" w:rsidP="00D43C9C">
      <w:pPr>
        <w:numPr>
          <w:ilvl w:val="0"/>
          <w:numId w:val="9"/>
        </w:numPr>
        <w:tabs>
          <w:tab w:val="left" w:pos="765"/>
        </w:tabs>
        <w:ind w:left="765"/>
        <w:jc w:val="both"/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W przypadku rozwiązania umowy o pracę w innym trybie niż określone w ust. 5 spłata pożyczki następuje na warunkach ustalonych w umowie.</w:t>
      </w:r>
    </w:p>
    <w:p w:rsidR="00D43C9C" w:rsidRPr="005125C5" w:rsidRDefault="00D43C9C" w:rsidP="00D43C9C">
      <w:pPr>
        <w:numPr>
          <w:ilvl w:val="0"/>
          <w:numId w:val="9"/>
        </w:numPr>
        <w:tabs>
          <w:tab w:val="left" w:pos="765"/>
        </w:tabs>
        <w:ind w:left="765"/>
        <w:jc w:val="both"/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4"/>
          <w14:textFill>
            <w14:solidFill>
              <w14:srgbClr w14:val="000000">
                <w14:alpha w14:val="20000"/>
              </w14:srgbClr>
            </w14:solidFill>
          </w14:textFill>
        </w:rPr>
        <w:t>W szczególnie uzasadnionych przypadkach, gdy osoba zobowiązana do spłaty</w:t>
      </w:r>
      <w:r w:rsidRPr="005125C5">
        <w:rPr>
          <w:rFonts w:cs="Times New Roman"/>
          <w:iCs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5125C5"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lastRenderedPageBreak/>
        <w:t>pożyczki znajduje się w trudnej sytuacji życiowej, pożyczka może być częściowo lub w całości umorzona wraz z odsetkami.</w:t>
      </w:r>
    </w:p>
    <w:p w:rsidR="00D43C9C" w:rsidRPr="005125C5" w:rsidRDefault="00D43C9C" w:rsidP="00D43C9C">
      <w:pPr>
        <w:numPr>
          <w:ilvl w:val="0"/>
          <w:numId w:val="9"/>
        </w:numPr>
        <w:tabs>
          <w:tab w:val="left" w:pos="795"/>
          <w:tab w:val="left" w:pos="851"/>
        </w:tabs>
        <w:ind w:left="795"/>
        <w:jc w:val="both"/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Wzór wniosku osoby uprawnionej o udzi</w:t>
      </w:r>
      <w:r w:rsidR="003336B6" w:rsidRPr="005125C5"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elenie pożyczki mieszkaniowej stanowi</w:t>
      </w:r>
      <w:r w:rsidRPr="005125C5"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załączniki nr </w:t>
      </w:r>
      <w:r w:rsidR="006F5BB4" w:rsidRPr="005125C5"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3</w:t>
      </w:r>
      <w:r w:rsidR="003336B6" w:rsidRPr="005125C5"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</w:t>
      </w:r>
      <w:r w:rsidRPr="005125C5"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do Regulaminu. Wzór umowy </w:t>
      </w:r>
      <w:r w:rsidR="006F5BB4" w:rsidRPr="005125C5"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pożyczki stanowi załącznik nr 4</w:t>
      </w:r>
      <w:r w:rsidRPr="005125C5">
        <w:rPr>
          <w:rFonts w:cs="Times New Roman"/>
          <w:i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do Regulaminu.</w:t>
      </w:r>
    </w:p>
    <w:p w:rsidR="00D43C9C" w:rsidRPr="005125C5" w:rsidRDefault="00D43C9C" w:rsidP="00D43C9C">
      <w:pPr>
        <w:ind w:left="765" w:hanging="360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Rozdział VIII</w:t>
      </w:r>
    </w:p>
    <w:p w:rsidR="00D43C9C" w:rsidRPr="005125C5" w:rsidRDefault="00D43C9C" w:rsidP="00D43C9C">
      <w:pPr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Postanowienia końcowe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§ 21.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Pracodawca prowadzi ewidencję rodzajów oraz wysokości świadczeń udzielonych poszczególnym osobom uprawnionym zgodnie z zasadami określonymi w Regulaminie.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§ 22.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Zmiana postanowień Regulaminu jest dokonywana w trybie przewidzianym dla jego ustalenia.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bCs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§ 23.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Regulamin został uzgodniony z zakładowymi organizacjami związkowymi działającymi u pracodawcy. </w:t>
      </w:r>
    </w:p>
    <w:p w:rsidR="00D43C9C" w:rsidRPr="005125C5" w:rsidRDefault="00D43C9C" w:rsidP="00D43C9C">
      <w:pPr>
        <w:autoSpaceDE w:val="0"/>
        <w:rPr>
          <w:rFonts w:cs="Times New Roman"/>
          <w:b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b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§ 24.</w:t>
      </w:r>
    </w:p>
    <w:p w:rsidR="00D43C9C" w:rsidRPr="005125C5" w:rsidRDefault="00D43C9C" w:rsidP="00D43C9C">
      <w:pPr>
        <w:autoSpaceDE w:val="0"/>
        <w:jc w:val="center"/>
        <w:rPr>
          <w:rFonts w:cs="Times New Roman"/>
          <w:b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Regulamin wchodzi w życie z upływem 2 tygodni od podania do wiadomości pracowników poprzez wywieszenie w pokoju nauczycielskim.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Uzgodniono w dniu: …............................................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</w:p>
    <w:p w:rsidR="00D43C9C" w:rsidRPr="005125C5" w:rsidRDefault="00D43C9C" w:rsidP="00D43C9C">
      <w:pPr>
        <w:autoSpaceDE w:val="0"/>
        <w:ind w:left="5664"/>
        <w:jc w:val="both"/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>…………………………………..</w:t>
      </w:r>
    </w:p>
    <w:p w:rsidR="00D43C9C" w:rsidRPr="005125C5" w:rsidRDefault="00D43C9C" w:rsidP="00D43C9C">
      <w:pPr>
        <w:autoSpaceDE w:val="0"/>
        <w:jc w:val="both"/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ab/>
      </w: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ab/>
      </w: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ab/>
      </w: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ab/>
      </w: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ab/>
      </w:r>
      <w:r w:rsidRPr="005125C5">
        <w:rPr>
          <w:rFonts w:cs="Times New Roman"/>
          <w:kern w:val="2"/>
          <w14:textFill>
            <w14:solidFill>
              <w14:srgbClr w14:val="000000">
                <w14:alpha w14:val="20000"/>
              </w14:srgbClr>
            </w14:solidFill>
          </w14:textFill>
        </w:rPr>
        <w:tab/>
      </w:r>
      <w:r w:rsidRPr="005125C5"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  <w:tab/>
      </w:r>
      <w:r w:rsidRPr="005125C5"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  <w:tab/>
        <w:t>(podpis i  pieczątka dyrektora szkoły)</w:t>
      </w:r>
    </w:p>
    <w:p w:rsidR="00D43C9C" w:rsidRPr="005125C5" w:rsidRDefault="00D43C9C" w:rsidP="00D43C9C">
      <w:pPr>
        <w:autoSpaceDE w:val="0"/>
        <w:jc w:val="both"/>
        <w:rPr>
          <w:rFonts w:cs="Times New Roman"/>
          <w:kern w:val="2"/>
          <w:sz w:val="20"/>
          <w:szCs w:val="20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kern w:val="2"/>
          <w:sz w:val="20"/>
          <w:szCs w:val="20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…………………………………………</w:t>
      </w:r>
    </w:p>
    <w:p w:rsidR="00D43C9C" w:rsidRPr="005125C5" w:rsidRDefault="00D43C9C" w:rsidP="00D43C9C">
      <w:pPr>
        <w:autoSpaceDE w:val="0"/>
        <w:jc w:val="both"/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</w:pPr>
      <w:r w:rsidRPr="005125C5"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  <w:t>(podpisy przedstawicieli organizacji</w:t>
      </w:r>
    </w:p>
    <w:p w:rsidR="00402A7A" w:rsidRPr="005125C5" w:rsidRDefault="00D43C9C" w:rsidP="005125C5">
      <w:pPr>
        <w:autoSpaceDE w:val="0"/>
        <w:jc w:val="both"/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  <w:sectPr w:rsidR="00402A7A" w:rsidRPr="005125C5" w:rsidSect="0099457C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125C5"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  <w:t xml:space="preserve"> zw</w:t>
      </w:r>
      <w:r w:rsidR="005125C5" w:rsidRPr="005125C5"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  <w:t>iąz</w:t>
      </w:r>
      <w:r w:rsidR="00F75EFD"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  <w:t>kowych i pieczęć organizacji</w:t>
      </w:r>
      <w:r w:rsidR="005125C5" w:rsidRPr="005125C5">
        <w:rPr>
          <w:rFonts w:cs="Times New Roman"/>
          <w:i/>
          <w:kern w:val="2"/>
          <w:sz w:val="22"/>
          <w:szCs w:val="22"/>
          <w14:textFill>
            <w14:solidFill>
              <w14:srgbClr w14:val="000000">
                <w14:alpha w14:val="20000"/>
              </w14:srgbClr>
            </w14:solidFill>
          </w14:textFill>
        </w:rPr>
        <w:t>)</w:t>
      </w:r>
    </w:p>
    <w:p w:rsidR="003336B6" w:rsidRPr="004F6B57" w:rsidRDefault="003336B6" w:rsidP="005125C5">
      <w:pPr>
        <w:rPr>
          <w:sz w:val="22"/>
        </w:rPr>
      </w:pPr>
    </w:p>
    <w:sectPr w:rsidR="003336B6" w:rsidRPr="004F6B57" w:rsidSect="00402A7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A3A" w:rsidRDefault="00417A3A" w:rsidP="00D43C9C">
      <w:r>
        <w:separator/>
      </w:r>
    </w:p>
  </w:endnote>
  <w:endnote w:type="continuationSeparator" w:id="0">
    <w:p w:rsidR="00417A3A" w:rsidRDefault="00417A3A" w:rsidP="00D4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563"/>
      <w:docPartObj>
        <w:docPartGallery w:val="Page Numbers (Bottom of Page)"/>
        <w:docPartUnique/>
      </w:docPartObj>
    </w:sdtPr>
    <w:sdtEndPr/>
    <w:sdtContent>
      <w:p w:rsidR="00D43C9C" w:rsidRDefault="0010306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1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C9C" w:rsidRDefault="00D43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A3A" w:rsidRDefault="00417A3A" w:rsidP="00D43C9C">
      <w:r>
        <w:separator/>
      </w:r>
    </w:p>
  </w:footnote>
  <w:footnote w:type="continuationSeparator" w:id="0">
    <w:p w:rsidR="00417A3A" w:rsidRDefault="00417A3A" w:rsidP="00D43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23"/>
    <w:lvl w:ilvl="0">
      <w:start w:val="1"/>
      <w:numFmt w:val="decimal"/>
      <w:lvlText w:val=" 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 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 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 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 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 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 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 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 %9."/>
      <w:lvlJc w:val="left"/>
      <w:pPr>
        <w:tabs>
          <w:tab w:val="num" w:pos="3780"/>
        </w:tabs>
        <w:ind w:left="3780" w:hanging="360"/>
      </w:pPr>
    </w:lvl>
  </w:abstractNum>
  <w:abstractNum w:abstractNumId="9">
    <w:nsid w:val="0000000C"/>
    <w:multiLevelType w:val="multi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0"/>
    <w:multiLevelType w:val="singleLevel"/>
    <w:tmpl w:val="00000020"/>
    <w:name w:val="WW8Num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70D4137"/>
    <w:multiLevelType w:val="hybridMultilevel"/>
    <w:tmpl w:val="EFBE1580"/>
    <w:lvl w:ilvl="0" w:tplc="476AFD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A64895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8DC077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BC5274B"/>
    <w:multiLevelType w:val="hybridMultilevel"/>
    <w:tmpl w:val="6F3839AC"/>
    <w:lvl w:ilvl="0" w:tplc="D758CB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0E50E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70ABE8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0CB3DD4"/>
    <w:multiLevelType w:val="hybridMultilevel"/>
    <w:tmpl w:val="FD0098B4"/>
    <w:lvl w:ilvl="0" w:tplc="A64895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F5097"/>
    <w:multiLevelType w:val="hybridMultilevel"/>
    <w:tmpl w:val="461AE3B4"/>
    <w:lvl w:ilvl="0" w:tplc="5CB851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C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A7E7D"/>
    <w:multiLevelType w:val="hybridMultilevel"/>
    <w:tmpl w:val="C41AB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00E4"/>
    <w:multiLevelType w:val="hybridMultilevel"/>
    <w:tmpl w:val="237E0CF4"/>
    <w:lvl w:ilvl="0" w:tplc="09C66B3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704F477F"/>
    <w:multiLevelType w:val="hybridMultilevel"/>
    <w:tmpl w:val="0FDA8CF4"/>
    <w:lvl w:ilvl="0" w:tplc="E5685890">
      <w:start w:val="1"/>
      <w:numFmt w:val="decimal"/>
      <w:lvlText w:val="%1."/>
      <w:lvlJc w:val="left"/>
      <w:pPr>
        <w:tabs>
          <w:tab w:val="num" w:pos="4308"/>
        </w:tabs>
        <w:ind w:left="430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>
    <w:nsid w:val="7A0326BA"/>
    <w:multiLevelType w:val="hybridMultilevel"/>
    <w:tmpl w:val="D4FEA3D8"/>
    <w:lvl w:ilvl="0" w:tplc="89DE7EA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7AA56049"/>
    <w:multiLevelType w:val="hybridMultilevel"/>
    <w:tmpl w:val="C8B68DEC"/>
    <w:lvl w:ilvl="0" w:tplc="559233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605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9C"/>
    <w:rsid w:val="00074D7C"/>
    <w:rsid w:val="00093555"/>
    <w:rsid w:val="00100F3A"/>
    <w:rsid w:val="00103062"/>
    <w:rsid w:val="00265A57"/>
    <w:rsid w:val="00301055"/>
    <w:rsid w:val="003336B6"/>
    <w:rsid w:val="0037783E"/>
    <w:rsid w:val="003D25AF"/>
    <w:rsid w:val="00402A7A"/>
    <w:rsid w:val="00417A3A"/>
    <w:rsid w:val="0046384F"/>
    <w:rsid w:val="00475CAC"/>
    <w:rsid w:val="004E63C9"/>
    <w:rsid w:val="004F6B57"/>
    <w:rsid w:val="005125C5"/>
    <w:rsid w:val="005721B3"/>
    <w:rsid w:val="005757DC"/>
    <w:rsid w:val="005D15BA"/>
    <w:rsid w:val="005D4AA8"/>
    <w:rsid w:val="006F5BB4"/>
    <w:rsid w:val="007013D2"/>
    <w:rsid w:val="0076409C"/>
    <w:rsid w:val="00850C5E"/>
    <w:rsid w:val="008712BB"/>
    <w:rsid w:val="00954472"/>
    <w:rsid w:val="0099457C"/>
    <w:rsid w:val="009C2DB9"/>
    <w:rsid w:val="009D2096"/>
    <w:rsid w:val="00A35874"/>
    <w:rsid w:val="00A621C0"/>
    <w:rsid w:val="00B152A2"/>
    <w:rsid w:val="00C529EC"/>
    <w:rsid w:val="00C55CA4"/>
    <w:rsid w:val="00C70A10"/>
    <w:rsid w:val="00D10BC6"/>
    <w:rsid w:val="00D43C9C"/>
    <w:rsid w:val="00D90E20"/>
    <w:rsid w:val="00E379A0"/>
    <w:rsid w:val="00E72CD8"/>
    <w:rsid w:val="00EE4CB6"/>
    <w:rsid w:val="00F6666B"/>
    <w:rsid w:val="00F75EFD"/>
    <w:rsid w:val="00F9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75172-BFD4-4BC6-8E28-B674857A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haroni"/>
        <w:b/>
        <w:i/>
        <w:outline/>
        <w:sz w:val="500"/>
        <w:szCs w:val="5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C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 w:val="0"/>
      <w:i w:val="0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qFormat/>
    <w:rsid w:val="00D43C9C"/>
    <w:pPr>
      <w:keepNext/>
      <w:tabs>
        <w:tab w:val="num" w:pos="0"/>
        <w:tab w:val="left" w:pos="1152"/>
      </w:tabs>
      <w:ind w:left="1152" w:hanging="1152"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43C9C"/>
    <w:rPr>
      <w:rFonts w:ascii="Times New Roman" w:eastAsia="SimSun" w:hAnsi="Times New Roman" w:cs="Mangal"/>
      <w:i w:val="0"/>
      <w:color w:val="000000"/>
      <w:kern w:val="1"/>
      <w:sz w:val="24"/>
      <w:szCs w:val="20"/>
      <w:lang w:eastAsia="hi-IN" w:bidi="hi-IN"/>
      <w14:textOutline w14:w="0" w14:cap="rnd" w14:cmpd="sng" w14:algn="ctr">
        <w14:noFill/>
        <w14:prstDash w14:val="solid"/>
        <w14:bevel/>
      </w14:textOutline>
    </w:rPr>
  </w:style>
  <w:style w:type="paragraph" w:customStyle="1" w:styleId="Zawartoramki">
    <w:name w:val="Zawartość ramki"/>
    <w:basedOn w:val="Tekstpodstawowy"/>
    <w:rsid w:val="00D43C9C"/>
    <w:pPr>
      <w:jc w:val="center"/>
    </w:pPr>
    <w:rPr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D43C9C"/>
    <w:pPr>
      <w:ind w:left="567"/>
      <w:jc w:val="center"/>
    </w:pPr>
    <w:rPr>
      <w:rFonts w:ascii="Arial" w:hAnsi="Arial"/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C9C"/>
    <w:rPr>
      <w:rFonts w:ascii="Arial" w:eastAsia="SimSun" w:hAnsi="Arial" w:cs="Mangal"/>
      <w:i w:val="0"/>
      <w:color w:val="000000"/>
      <w:kern w:val="1"/>
      <w:sz w:val="24"/>
      <w:szCs w:val="20"/>
      <w:lang w:eastAsia="hi-IN" w:bidi="hi-IN"/>
      <w14:textOutline w14:w="0" w14:cap="rnd" w14:cmpd="sng" w14:algn="ctr">
        <w14:noFill/>
        <w14:prstDash w14:val="solid"/>
        <w14:bevel/>
      </w14:textOutline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3C9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3C9C"/>
    <w:rPr>
      <w:rFonts w:ascii="Times New Roman" w:eastAsia="SimSun" w:hAnsi="Times New Roman" w:cs="Mangal"/>
      <w:b w:val="0"/>
      <w:i w:val="0"/>
      <w:color w:val="000000"/>
      <w:kern w:val="1"/>
      <w:sz w:val="24"/>
      <w:szCs w:val="21"/>
      <w:lang w:eastAsia="hi-IN" w:bidi="hi-IN"/>
      <w14:textOutline w14:w="0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semiHidden/>
    <w:unhideWhenUsed/>
    <w:rsid w:val="00D43C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3C9C"/>
    <w:rPr>
      <w:rFonts w:ascii="Times New Roman" w:eastAsia="SimSun" w:hAnsi="Times New Roman" w:cs="Mangal"/>
      <w:b w:val="0"/>
      <w:i w:val="0"/>
      <w:color w:val="000000"/>
      <w:kern w:val="1"/>
      <w:sz w:val="24"/>
      <w:szCs w:val="21"/>
      <w:lang w:eastAsia="hi-IN" w:bidi="hi-IN"/>
      <w14:textOutline w14:w="0" w14:cap="rnd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D43C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43C9C"/>
    <w:rPr>
      <w:rFonts w:ascii="Times New Roman" w:eastAsia="SimSun" w:hAnsi="Times New Roman" w:cs="Mangal"/>
      <w:b w:val="0"/>
      <w:i w:val="0"/>
      <w:color w:val="000000"/>
      <w:kern w:val="1"/>
      <w:sz w:val="24"/>
      <w:szCs w:val="21"/>
      <w:lang w:eastAsia="hi-IN" w:bidi="hi-IN"/>
      <w14:textOutline w14:w="0" w14:cap="rnd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qFormat/>
    <w:rsid w:val="00F97D74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A35874"/>
    <w:pPr>
      <w:spacing w:after="0" w:line="240" w:lineRule="auto"/>
    </w:pPr>
    <w:rPr>
      <w:rFonts w:cstheme="minorBidi"/>
      <w:b w:val="0"/>
      <w:i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31">
    <w:name w:val="Nagłówek 31"/>
    <w:basedOn w:val="Normalny"/>
    <w:next w:val="Normalny"/>
    <w:rsid w:val="003D25AF"/>
    <w:pPr>
      <w:keepNext/>
      <w:numPr>
        <w:ilvl w:val="2"/>
        <w:numId w:val="15"/>
      </w:numPr>
      <w:jc w:val="both"/>
      <w:outlineLvl w:val="2"/>
    </w:pPr>
    <w:rPr>
      <w:rFonts w:eastAsia="Arial Unicode MS" w:cs="Times New Roman"/>
      <w:b/>
      <w:bCs/>
      <w:kern w:val="0"/>
      <w:sz w:val="22"/>
      <w:szCs w:val="22"/>
      <w:lang w:eastAsia="pl-PL" w:bidi="ar-SA"/>
    </w:rPr>
  </w:style>
  <w:style w:type="paragraph" w:customStyle="1" w:styleId="Nagwek21">
    <w:name w:val="Nagłówek 21"/>
    <w:basedOn w:val="Normalny"/>
    <w:next w:val="Normalny"/>
    <w:rsid w:val="003D25AF"/>
    <w:pPr>
      <w:keepNext/>
      <w:numPr>
        <w:ilvl w:val="1"/>
        <w:numId w:val="15"/>
      </w:numPr>
      <w:spacing w:line="360" w:lineRule="auto"/>
      <w:outlineLvl w:val="1"/>
    </w:pPr>
    <w:rPr>
      <w:rFonts w:eastAsia="Arial Unicode MS" w:cs="Times New Roman"/>
      <w:b/>
      <w:bCs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1746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admin</cp:lastModifiedBy>
  <cp:revision>5</cp:revision>
  <cp:lastPrinted>2018-04-05T20:48:00Z</cp:lastPrinted>
  <dcterms:created xsi:type="dcterms:W3CDTF">2019-10-10T11:51:00Z</dcterms:created>
  <dcterms:modified xsi:type="dcterms:W3CDTF">2019-10-10T12:10:00Z</dcterms:modified>
</cp:coreProperties>
</file>